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0517A7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9C16A2" w:rsidRDefault="009C16A2" w:rsidP="00B61DEF">
            <w:pPr>
              <w:ind w:right="-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SUA.Lecco</w:t>
            </w:r>
            <w:proofErr w:type="spellEnd"/>
            <w:r>
              <w:rPr>
                <w:sz w:val="18"/>
                <w:szCs w:val="18"/>
              </w:rPr>
              <w:t xml:space="preserve"> c/o Provincia di Lecco – Direzione Organizzativa III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9C16A2" w:rsidRDefault="00BB1896" w:rsidP="000517A7">
            <w:pPr>
              <w:ind w:right="-143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000000"/>
                <w:sz w:val="18"/>
                <w:szCs w:val="18"/>
              </w:rPr>
              <w:t>SUA.Lecco</w:t>
            </w:r>
            <w:proofErr w:type="spellEnd"/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. </w:t>
            </w:r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 xml:space="preserve">Comunità Montana Valsassina, </w:t>
            </w:r>
            <w:proofErr w:type="spellStart"/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>Valvarrone</w:t>
            </w:r>
            <w:proofErr w:type="spellEnd"/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>Val</w:t>
            </w:r>
            <w:proofErr w:type="spellEnd"/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 xml:space="preserve"> d’Esino e Riviera</w:t>
            </w:r>
            <w:r w:rsidR="009C16A2" w:rsidRPr="009C16A2">
              <w:rPr>
                <w:rFonts w:cs="Arial"/>
                <w:bCs/>
                <w:color w:val="000000"/>
                <w:sz w:val="18"/>
                <w:szCs w:val="18"/>
              </w:rPr>
              <w:t xml:space="preserve">. </w:t>
            </w:r>
            <w:r w:rsidR="00C35588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C35588" w:rsidRPr="00C35588">
              <w:rPr>
                <w:rFonts w:cs="Arial"/>
                <w:snapToGrid w:val="0"/>
                <w:sz w:val="18"/>
                <w:szCs w:val="18"/>
              </w:rPr>
              <w:t>S</w:t>
            </w:r>
            <w:r w:rsidR="00C35588" w:rsidRPr="00C35588">
              <w:rPr>
                <w:rFonts w:cs="Arial"/>
                <w:bCs/>
                <w:sz w:val="18"/>
                <w:szCs w:val="18"/>
              </w:rPr>
              <w:t xml:space="preserve">ervizio </w:t>
            </w:r>
            <w:r w:rsidR="00C35588" w:rsidRPr="00C35588"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di </w:t>
            </w:r>
            <w:r w:rsidR="00673C56">
              <w:rPr>
                <w:rFonts w:cs="Arial"/>
                <w:bCs/>
                <w:color w:val="000000"/>
                <w:sz w:val="18"/>
                <w:szCs w:val="18"/>
              </w:rPr>
              <w:t>tesoreria</w:t>
            </w:r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 xml:space="preserve"> per il</w:t>
            </w:r>
            <w:r w:rsidR="00673C56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C35588" w:rsidRPr="00C35588">
              <w:rPr>
                <w:rFonts w:cs="Arial"/>
                <w:bCs/>
                <w:color w:val="000000"/>
                <w:sz w:val="18"/>
                <w:szCs w:val="18"/>
              </w:rPr>
              <w:t xml:space="preserve"> periodo dal 01.01.2017 al 31.12.20</w:t>
            </w:r>
            <w:r w:rsidR="00673C56">
              <w:rPr>
                <w:rFonts w:cs="Arial"/>
                <w:bCs/>
                <w:color w:val="000000"/>
                <w:sz w:val="18"/>
                <w:szCs w:val="18"/>
              </w:rPr>
              <w:t>21</w:t>
            </w:r>
            <w:r w:rsidR="009C16A2" w:rsidRPr="00FA77F2">
              <w:rPr>
                <w:rFonts w:cs="Arial"/>
                <w:sz w:val="18"/>
                <w:szCs w:val="18"/>
              </w:rPr>
              <w:t>.</w:t>
            </w:r>
            <w:r w:rsidR="009C16A2" w:rsidRPr="009C16A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9C16A2" w:rsidRDefault="00BB1896" w:rsidP="000517A7">
            <w:pPr>
              <w:ind w:right="-14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GARA N. 12</w:t>
            </w:r>
            <w:r w:rsidR="000517A7">
              <w:rPr>
                <w:rFonts w:cs="Arial"/>
                <w:sz w:val="18"/>
                <w:szCs w:val="18"/>
              </w:rPr>
              <w:t>5</w:t>
            </w:r>
            <w:r w:rsidR="009C16A2" w:rsidRPr="009C16A2">
              <w:rPr>
                <w:rFonts w:cs="Arial"/>
                <w:sz w:val="18"/>
                <w:szCs w:val="18"/>
              </w:rPr>
              <w:t>/2016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0517A7" w:rsidRDefault="000517A7" w:rsidP="00B61DEF">
            <w:pPr>
              <w:ind w:right="-143"/>
              <w:rPr>
                <w:b/>
                <w:sz w:val="18"/>
                <w:szCs w:val="18"/>
              </w:rPr>
            </w:pPr>
            <w:r w:rsidRPr="000517A7">
              <w:rPr>
                <w:rStyle w:val="Enfasigrassetto"/>
                <w:rFonts w:cs="Arial"/>
                <w:b w:val="0"/>
                <w:sz w:val="18"/>
                <w:szCs w:val="18"/>
              </w:rPr>
              <w:t>68369150BE</w:t>
            </w:r>
            <w:r w:rsidR="00FA77F2" w:rsidRPr="000517A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9C7584" w:rsidRPr="00FA77F2" w:rsidRDefault="00C35588" w:rsidP="00B61DEF">
            <w:pPr>
              <w:ind w:right="-143"/>
              <w:rPr>
                <w:sz w:val="18"/>
                <w:szCs w:val="18"/>
              </w:rPr>
            </w:pPr>
            <w:r w:rsidRPr="009C16A2">
              <w:rPr>
                <w:sz w:val="18"/>
                <w:szCs w:val="18"/>
              </w:rPr>
              <w:t>[  ]</w:t>
            </w:r>
          </w:p>
          <w:p w:rsidR="009C7584" w:rsidRPr="009C16A2" w:rsidRDefault="009C7584" w:rsidP="00B61DEF">
            <w:pPr>
              <w:ind w:right="-143"/>
              <w:rPr>
                <w:sz w:val="18"/>
                <w:szCs w:val="18"/>
              </w:rPr>
            </w:pPr>
            <w:r w:rsidRPr="009C16A2">
              <w:rPr>
                <w:sz w:val="18"/>
                <w:szCs w:val="18"/>
              </w:rPr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lastRenderedPageBreak/>
        <w:t>Tutte le altre informazioni in tutte le sezioni del DGUE devono essere inserite dall’operatore economico</w:t>
      </w: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lastRenderedPageBreak/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lastRenderedPageBreak/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lastRenderedPageBreak/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f</w:t>
            </w:r>
            <w:r w:rsidR="00AB697A" w:rsidRPr="00D77135">
              <w:rPr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liquidazione coatta</w:t>
            </w:r>
          </w:p>
          <w:p w:rsidR="00D77135" w:rsidRPr="00D77135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D77135" w:rsidRPr="00D77135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lastRenderedPageBreak/>
              <w:t>concordato preventivo</w:t>
            </w:r>
          </w:p>
          <w:p w:rsidR="00D77135" w:rsidRPr="00D77135" w:rsidRDefault="00D77135" w:rsidP="00D77135">
            <w:pPr>
              <w:pStyle w:val="Paragrafoelenco"/>
              <w:rPr>
                <w:sz w:val="18"/>
                <w:szCs w:val="18"/>
              </w:rPr>
            </w:pPr>
          </w:p>
          <w:p w:rsid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è ammesso a concordato con continuità aziendale</w:t>
            </w:r>
            <w:r w:rsidR="00AB697A" w:rsidRPr="00D77135">
              <w:rPr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lastRenderedPageBreak/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pevisto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lastRenderedPageBreak/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A2" w:rsidRDefault="009C16A2" w:rsidP="00556778">
      <w:pPr>
        <w:spacing w:after="0" w:line="240" w:lineRule="auto"/>
      </w:pPr>
      <w:r>
        <w:separator/>
      </w:r>
    </w:p>
  </w:endnote>
  <w:endnote w:type="continuationSeparator" w:id="0">
    <w:p w:rsidR="009C16A2" w:rsidRDefault="009C16A2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9C16A2" w:rsidRDefault="00094B55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9C16A2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0517A7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9C16A2" w:rsidRDefault="009C16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A2" w:rsidRDefault="009C16A2" w:rsidP="00556778">
      <w:pPr>
        <w:spacing w:after="0" w:line="240" w:lineRule="auto"/>
      </w:pPr>
      <w:r>
        <w:separator/>
      </w:r>
    </w:p>
  </w:footnote>
  <w:footnote w:type="continuationSeparator" w:id="0">
    <w:p w:rsidR="009C16A2" w:rsidRDefault="009C16A2" w:rsidP="00556778">
      <w:pPr>
        <w:spacing w:after="0" w:line="240" w:lineRule="auto"/>
      </w:pPr>
      <w:r>
        <w:continuationSeparator/>
      </w:r>
    </w:p>
  </w:footnote>
  <w:footnote w:id="1">
    <w:p w:rsidR="009C16A2" w:rsidRPr="00CA53F9" w:rsidRDefault="009C16A2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9C16A2" w:rsidRPr="00CA53F9" w:rsidRDefault="009C16A2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9C16A2" w:rsidRDefault="009C16A2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9C16A2" w:rsidRPr="00CA53F9" w:rsidRDefault="009C16A2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9C16A2" w:rsidRPr="0009734C" w:rsidRDefault="009C16A2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9C16A2" w:rsidRPr="0009734C" w:rsidRDefault="009C16A2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9C16A2" w:rsidRDefault="009C16A2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9C16A2" w:rsidRPr="00C775BA" w:rsidRDefault="009C16A2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9C16A2" w:rsidRPr="00C775BA" w:rsidRDefault="009C16A2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9C16A2" w:rsidRDefault="009C16A2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9C16A2" w:rsidRDefault="009C16A2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9C16A2" w:rsidRPr="00C775BA" w:rsidRDefault="009C16A2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9C16A2" w:rsidRPr="00C775BA" w:rsidRDefault="009C16A2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9C16A2" w:rsidRPr="00C775BA" w:rsidRDefault="009C16A2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9C16A2" w:rsidRDefault="009C16A2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9C16A2" w:rsidRPr="0072581C" w:rsidRDefault="009C16A2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9C16A2" w:rsidRPr="008148BD" w:rsidRDefault="009C16A2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9C16A2" w:rsidRPr="008148BD" w:rsidRDefault="009C16A2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9C16A2" w:rsidRDefault="009C16A2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9C16A2" w:rsidRPr="009521D1" w:rsidRDefault="009C16A2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9C16A2" w:rsidRDefault="009C16A2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9C16A2" w:rsidRPr="00D96582" w:rsidRDefault="009C16A2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9C16A2" w:rsidRPr="00620F07" w:rsidRDefault="009C16A2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9C16A2" w:rsidRDefault="009C16A2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9C16A2" w:rsidRPr="00C2335E" w:rsidRDefault="009C16A2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9C16A2" w:rsidRPr="00C2335E" w:rsidRDefault="009C16A2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9C16A2" w:rsidRPr="00C2335E" w:rsidRDefault="009C16A2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9C16A2" w:rsidRPr="006F0F20" w:rsidRDefault="009C16A2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9C16A2" w:rsidRDefault="009C16A2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9C16A2" w:rsidRDefault="009C16A2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9C16A2" w:rsidRDefault="009C16A2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9C16A2" w:rsidRDefault="009C16A2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9C16A2" w:rsidRPr="00E92697" w:rsidRDefault="009C16A2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9C16A2" w:rsidRPr="00E92697" w:rsidRDefault="009C16A2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12190"/>
    <w:rsid w:val="000245C9"/>
    <w:rsid w:val="0003795A"/>
    <w:rsid w:val="000517A7"/>
    <w:rsid w:val="000562E2"/>
    <w:rsid w:val="00056CA6"/>
    <w:rsid w:val="00060ACF"/>
    <w:rsid w:val="0006420E"/>
    <w:rsid w:val="00087172"/>
    <w:rsid w:val="00094B55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E130A"/>
    <w:rsid w:val="003F18AE"/>
    <w:rsid w:val="004032CD"/>
    <w:rsid w:val="004078A1"/>
    <w:rsid w:val="0041571A"/>
    <w:rsid w:val="0043143D"/>
    <w:rsid w:val="00446072"/>
    <w:rsid w:val="00451917"/>
    <w:rsid w:val="0046664C"/>
    <w:rsid w:val="004866F0"/>
    <w:rsid w:val="0049124F"/>
    <w:rsid w:val="0049299A"/>
    <w:rsid w:val="00493A66"/>
    <w:rsid w:val="004A0893"/>
    <w:rsid w:val="004B4C9C"/>
    <w:rsid w:val="004B7267"/>
    <w:rsid w:val="004C5CE5"/>
    <w:rsid w:val="004D6549"/>
    <w:rsid w:val="004D7402"/>
    <w:rsid w:val="004E3E8A"/>
    <w:rsid w:val="004E44F9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2708"/>
    <w:rsid w:val="005D5EE7"/>
    <w:rsid w:val="005D75B5"/>
    <w:rsid w:val="005F1659"/>
    <w:rsid w:val="005F626A"/>
    <w:rsid w:val="00610B14"/>
    <w:rsid w:val="006118CD"/>
    <w:rsid w:val="00616155"/>
    <w:rsid w:val="00620F07"/>
    <w:rsid w:val="00643714"/>
    <w:rsid w:val="00644EA8"/>
    <w:rsid w:val="006470C3"/>
    <w:rsid w:val="006552B1"/>
    <w:rsid w:val="00665D47"/>
    <w:rsid w:val="00673C56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7620A"/>
    <w:rsid w:val="007A1959"/>
    <w:rsid w:val="007A2B4F"/>
    <w:rsid w:val="007B3EB6"/>
    <w:rsid w:val="007D36CC"/>
    <w:rsid w:val="007E6B0C"/>
    <w:rsid w:val="007F36C6"/>
    <w:rsid w:val="0080024E"/>
    <w:rsid w:val="00812BF1"/>
    <w:rsid w:val="008148BD"/>
    <w:rsid w:val="00817776"/>
    <w:rsid w:val="0082680C"/>
    <w:rsid w:val="00830FF9"/>
    <w:rsid w:val="008427D0"/>
    <w:rsid w:val="0084397B"/>
    <w:rsid w:val="00865EF8"/>
    <w:rsid w:val="00870D43"/>
    <w:rsid w:val="00871954"/>
    <w:rsid w:val="00876F3B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76D2A"/>
    <w:rsid w:val="009826EE"/>
    <w:rsid w:val="009A12C1"/>
    <w:rsid w:val="009A24F2"/>
    <w:rsid w:val="009A382B"/>
    <w:rsid w:val="009B2E9A"/>
    <w:rsid w:val="009C16A2"/>
    <w:rsid w:val="009C382E"/>
    <w:rsid w:val="009C7584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E6697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81D81"/>
    <w:rsid w:val="00BA1F9F"/>
    <w:rsid w:val="00BA49B9"/>
    <w:rsid w:val="00BA660F"/>
    <w:rsid w:val="00BA7C78"/>
    <w:rsid w:val="00BB1896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35588"/>
    <w:rsid w:val="00C4496E"/>
    <w:rsid w:val="00C678B6"/>
    <w:rsid w:val="00C7052F"/>
    <w:rsid w:val="00C72D73"/>
    <w:rsid w:val="00C775BA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935A7"/>
    <w:rsid w:val="00EB36F8"/>
    <w:rsid w:val="00EC0657"/>
    <w:rsid w:val="00EC44E2"/>
    <w:rsid w:val="00EC66D8"/>
    <w:rsid w:val="00ED7B52"/>
    <w:rsid w:val="00F13062"/>
    <w:rsid w:val="00F16748"/>
    <w:rsid w:val="00F2755F"/>
    <w:rsid w:val="00F3252C"/>
    <w:rsid w:val="00F471D9"/>
    <w:rsid w:val="00F72D1C"/>
    <w:rsid w:val="00F73E93"/>
    <w:rsid w:val="00F83D4D"/>
    <w:rsid w:val="00FA77F2"/>
    <w:rsid w:val="00FC2E04"/>
    <w:rsid w:val="00FC3A19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9C1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AEA1-2837-4544-BD04-EBBD256F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6354</Words>
  <Characters>36222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4</cp:revision>
  <cp:lastPrinted>2016-08-02T07:19:00Z</cp:lastPrinted>
  <dcterms:created xsi:type="dcterms:W3CDTF">2016-10-17T10:47:00Z</dcterms:created>
  <dcterms:modified xsi:type="dcterms:W3CDTF">2016-10-19T13:15:00Z</dcterms:modified>
</cp:coreProperties>
</file>