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B61DEF" w:rsidP="00AC678E">
            <w:pPr>
              <w:autoSpaceDE w:val="0"/>
              <w:autoSpaceDN w:val="0"/>
              <w:adjustRightInd w:val="0"/>
              <w:jc w:val="both"/>
            </w:pPr>
            <w:r w:rsidRPr="004B7267">
              <w:t>[</w:t>
            </w:r>
            <w:proofErr w:type="spellStart"/>
            <w:r w:rsidR="00CF2C19" w:rsidRPr="00CF2C19">
              <w:rPr>
                <w:rFonts w:cs="Arial"/>
                <w:sz w:val="18"/>
                <w:szCs w:val="18"/>
              </w:rPr>
              <w:t>Sua.Lecco.</w:t>
            </w:r>
            <w:proofErr w:type="spellEnd"/>
            <w:r w:rsidR="00CF2C19" w:rsidRPr="00CF2C19">
              <w:rPr>
                <w:rFonts w:cs="Arial"/>
                <w:sz w:val="18"/>
                <w:szCs w:val="18"/>
              </w:rPr>
              <w:t xml:space="preserve"> COMUNE </w:t>
            </w:r>
            <w:proofErr w:type="spellStart"/>
            <w:r w:rsidR="00CF2C19" w:rsidRPr="00CF2C19">
              <w:rPr>
                <w:rFonts w:cs="Arial"/>
                <w:sz w:val="18"/>
                <w:szCs w:val="18"/>
              </w:rPr>
              <w:t>DI</w:t>
            </w:r>
            <w:proofErr w:type="spellEnd"/>
            <w:r w:rsidR="00CF2C19" w:rsidRPr="00CF2C19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AC678E">
              <w:rPr>
                <w:rFonts w:cs="Arial"/>
                <w:bCs/>
                <w:sz w:val="18"/>
                <w:szCs w:val="18"/>
              </w:rPr>
              <w:t>VARENNA</w:t>
            </w:r>
            <w:r w:rsidRPr="00CF2C19"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CF2C19" w:rsidRDefault="00B61DEF" w:rsidP="00A37848">
            <w:pPr>
              <w:shd w:val="clear" w:color="auto" w:fill="FFFFFF"/>
              <w:ind w:left="33" w:right="11"/>
              <w:jc w:val="both"/>
            </w:pPr>
            <w:r w:rsidRPr="00CF2C19">
              <w:t>[</w:t>
            </w:r>
            <w:proofErr w:type="spellStart"/>
            <w:r w:rsidR="00AC678E" w:rsidRPr="00AC678E">
              <w:rPr>
                <w:sz w:val="18"/>
                <w:szCs w:val="18"/>
              </w:rPr>
              <w:t>SUA.LECCO</w:t>
            </w:r>
            <w:proofErr w:type="spellEnd"/>
            <w:r w:rsidR="00AC678E" w:rsidRPr="00AC678E">
              <w:rPr>
                <w:sz w:val="18"/>
                <w:szCs w:val="18"/>
              </w:rPr>
              <w:t xml:space="preserve">. COMUNE </w:t>
            </w:r>
            <w:proofErr w:type="spellStart"/>
            <w:r w:rsidR="00AC678E" w:rsidRPr="00AC678E">
              <w:rPr>
                <w:sz w:val="18"/>
                <w:szCs w:val="18"/>
              </w:rPr>
              <w:t>DI</w:t>
            </w:r>
            <w:proofErr w:type="spellEnd"/>
            <w:r w:rsidR="00AC678E" w:rsidRPr="00AC678E">
              <w:rPr>
                <w:sz w:val="18"/>
                <w:szCs w:val="18"/>
              </w:rPr>
              <w:t xml:space="preserve"> VARENNA.</w:t>
            </w:r>
            <w:r w:rsidR="00AC678E">
              <w:rPr>
                <w:sz w:val="18"/>
                <w:szCs w:val="18"/>
              </w:rPr>
              <w:t xml:space="preserve"> </w:t>
            </w:r>
            <w:r w:rsidR="00AC678E" w:rsidRPr="00AC678E">
              <w:rPr>
                <w:sz w:val="18"/>
                <w:szCs w:val="18"/>
              </w:rPr>
              <w:t xml:space="preserve">PROCEDURA APERTA PER L’AFFIDAMENTO IN </w:t>
            </w:r>
            <w:r w:rsidR="00AC678E" w:rsidRPr="00AC678E">
              <w:rPr>
                <w:bCs/>
                <w:iCs/>
                <w:sz w:val="18"/>
                <w:szCs w:val="18"/>
              </w:rPr>
              <w:t xml:space="preserve">CONCESSIONE </w:t>
            </w:r>
            <w:r w:rsidR="00AC678E" w:rsidRPr="00AC678E">
              <w:rPr>
                <w:bCs/>
                <w:color w:val="000000"/>
                <w:sz w:val="18"/>
                <w:szCs w:val="18"/>
              </w:rPr>
              <w:t xml:space="preserve">DEI SERVIZI </w:t>
            </w:r>
            <w:proofErr w:type="spellStart"/>
            <w:r w:rsidR="00AC678E" w:rsidRPr="00AC678E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="00AC678E" w:rsidRPr="00AC678E">
              <w:rPr>
                <w:bCs/>
                <w:color w:val="000000"/>
                <w:sz w:val="18"/>
                <w:szCs w:val="18"/>
              </w:rPr>
              <w:t xml:space="preserve"> GESTIONE IMMOBILIARE DEL SERVIZIO ALBERGHIERO E </w:t>
            </w:r>
            <w:proofErr w:type="spellStart"/>
            <w:r w:rsidR="00AC678E" w:rsidRPr="00AC678E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="00AC678E" w:rsidRPr="00AC678E">
              <w:rPr>
                <w:bCs/>
                <w:color w:val="000000"/>
                <w:sz w:val="18"/>
                <w:szCs w:val="18"/>
              </w:rPr>
              <w:t xml:space="preserve"> QUELLO DELLE MANIFESTAZIONI CULTURALI E RICREATIVE </w:t>
            </w:r>
            <w:proofErr w:type="spellStart"/>
            <w:r w:rsidR="00AC678E" w:rsidRPr="00AC678E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="00AC678E" w:rsidRPr="00AC678E">
              <w:rPr>
                <w:bCs/>
                <w:color w:val="000000"/>
                <w:sz w:val="18"/>
                <w:szCs w:val="18"/>
              </w:rPr>
              <w:t xml:space="preserve"> VILLA CIPRESSI PER IL PERIODO 2 DICEMBRE 2017 – 31 DICEMBRE 2032 </w:t>
            </w:r>
            <w:r w:rsidR="00AC678E" w:rsidRPr="00AC678E">
              <w:rPr>
                <w:sz w:val="18"/>
                <w:szCs w:val="18"/>
              </w:rPr>
              <w:t>– CPV 55130000-0</w:t>
            </w:r>
            <w:r w:rsidRPr="00AC678E">
              <w:rPr>
                <w:sz w:val="18"/>
                <w:szCs w:val="18"/>
              </w:rPr>
              <w:t>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CF2C19" w:rsidRDefault="00B61DEF" w:rsidP="00A37848">
            <w:pPr>
              <w:ind w:right="-143"/>
            </w:pPr>
            <w:r w:rsidRPr="00CF2C19">
              <w:t xml:space="preserve">[ </w:t>
            </w:r>
            <w:r w:rsidR="00CF2C19" w:rsidRPr="00CF2C19">
              <w:rPr>
                <w:rFonts w:cs="Arial"/>
                <w:sz w:val="18"/>
                <w:szCs w:val="18"/>
              </w:rPr>
              <w:t>1</w:t>
            </w:r>
            <w:r w:rsidR="00A37848">
              <w:rPr>
                <w:rFonts w:cs="Arial"/>
                <w:sz w:val="18"/>
                <w:szCs w:val="18"/>
              </w:rPr>
              <w:t>23</w:t>
            </w:r>
            <w:r w:rsidR="00CF2C19" w:rsidRPr="00CF2C19">
              <w:rPr>
                <w:rFonts w:cs="Arial"/>
                <w:sz w:val="18"/>
                <w:szCs w:val="18"/>
              </w:rPr>
              <w:t>/2017</w:t>
            </w:r>
            <w:r w:rsidRPr="00CF2C19">
              <w:t>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Default="009C7584" w:rsidP="00B61DEF">
            <w:pPr>
              <w:ind w:right="-143"/>
            </w:pPr>
            <w:r w:rsidRPr="004B7267">
              <w:t>[</w:t>
            </w:r>
            <w:r w:rsidR="00AC678E" w:rsidRPr="00AC678E">
              <w:rPr>
                <w:rFonts w:ascii="Calibri" w:eastAsia="Calibri" w:hAnsi="Calibri" w:cs="Times New Roman"/>
                <w:b/>
                <w:sz w:val="18"/>
                <w:szCs w:val="18"/>
              </w:rPr>
              <w:t>716162256E</w:t>
            </w:r>
            <w:r w:rsidRPr="004B7267">
              <w:t>]</w:t>
            </w:r>
          </w:p>
          <w:p w:rsidR="009C7584" w:rsidRDefault="009C7584" w:rsidP="00B61DEF">
            <w:pPr>
              <w:ind w:right="-143"/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lastRenderedPageBreak/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lastRenderedPageBreak/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>urante il 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 xml:space="preserve">ha </w:t>
            </w:r>
            <w:r w:rsidRPr="004D6549">
              <w:rPr>
                <w:b/>
                <w:sz w:val="18"/>
                <w:szCs w:val="18"/>
              </w:rPr>
              <w:lastRenderedPageBreak/>
              <w:t>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Numero anni (questo periodo è specificato nell’avviso o bando 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7F4F56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A37848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52D4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3730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7F4F5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37848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C678E"/>
    <w:rsid w:val="00AF484D"/>
    <w:rsid w:val="00B06177"/>
    <w:rsid w:val="00B10E40"/>
    <w:rsid w:val="00B23C6A"/>
    <w:rsid w:val="00B32842"/>
    <w:rsid w:val="00B36452"/>
    <w:rsid w:val="00B4753B"/>
    <w:rsid w:val="00B5073F"/>
    <w:rsid w:val="00B56299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2C19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CF2C19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8422-2AB8-4DA4-8776-0E25479D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rossana.pizzagalli</cp:lastModifiedBy>
  <cp:revision>5</cp:revision>
  <cp:lastPrinted>2016-08-02T07:19:00Z</cp:lastPrinted>
  <dcterms:created xsi:type="dcterms:W3CDTF">2017-08-07T14:24:00Z</dcterms:created>
  <dcterms:modified xsi:type="dcterms:W3CDTF">2017-08-07T14:31:00Z</dcterms:modified>
</cp:coreProperties>
</file>